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5" w:rsidRPr="00CC621A" w:rsidRDefault="00A963F5" w:rsidP="00A963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21A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安徽化工学校调、停（补）课的</w:t>
      </w:r>
      <w:r w:rsidR="006A039F" w:rsidRPr="00CC621A">
        <w:rPr>
          <w:rFonts w:ascii="方正小标宋简体" w:eastAsia="方正小标宋简体" w:hAnsi="方正小标宋简体" w:cs="方正小标宋简体" w:hint="eastAsia"/>
          <w:sz w:val="44"/>
          <w:szCs w:val="44"/>
        </w:rPr>
        <w:t>暂行</w:t>
      </w:r>
      <w:r w:rsidRPr="00CC621A"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规定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63F5">
        <w:rPr>
          <w:rFonts w:cs="FangSong_GB2312-Identity-H" w:hint="eastAsia"/>
          <w:b/>
          <w:bCs/>
          <w:sz w:val="28"/>
          <w:szCs w:val="28"/>
        </w:rPr>
        <w:t>第一条</w:t>
      </w:r>
      <w:r w:rsidRPr="00A963F5">
        <w:rPr>
          <w:rFonts w:ascii="仿宋_GB2312" w:eastAsia="仿宋_GB2312" w:cs="FangSong_GB2312-Identity-H" w:hint="eastAsia"/>
          <w:sz w:val="28"/>
          <w:szCs w:val="28"/>
        </w:rPr>
        <w:t> 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为维护正常的教学秩序，严肃教学纪律，规范日常教学管理，保证教学质量，结合我校教学管理的实际情况，特制定本暂行规定。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63F5">
        <w:rPr>
          <w:rFonts w:cs="FangSong_GB2312-Identity-H" w:hint="eastAsia"/>
          <w:b/>
          <w:bCs/>
          <w:sz w:val="28"/>
          <w:szCs w:val="28"/>
        </w:rPr>
        <w:t>第二条</w:t>
      </w:r>
      <w:r w:rsidRPr="00A963F5">
        <w:rPr>
          <w:rFonts w:ascii="仿宋_GB2312" w:eastAsia="仿宋_GB2312" w:cs="FangSong_GB2312-Identity-H" w:hint="eastAsia"/>
          <w:sz w:val="28"/>
          <w:szCs w:val="28"/>
        </w:rPr>
        <w:t> 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课表是依据人才培养方案与教学大纲制定的，是组织与实施教学的重要依据，是按时按进度完成教学计划的重要保证。教师、学生都应严格按照排定的课表上课，未经批准，一律不得擅自调课、停课。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（一）调课是指任课老师、上课时间、上课地点等任何一项的确定性的变更；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（二）停课是指任课教师所担任的某门课程因故不能在规定的时间内授课，而需要安排在后期补课的行为；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（三）节假日、校运动会等全校性的集体活动，需临时调、停课的，根据学校相关通知执行；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（四）列入教学计划中的教学实践课程如专业考察、教育见习等需调、停课的，学生</w:t>
      </w:r>
      <w:proofErr w:type="gramStart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所在系部应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提前确定好调、停课时间表，并集体办理调停课手续报教务处备案，确保教学的有序进行；</w:t>
      </w:r>
    </w:p>
    <w:p w:rsidR="00A963F5" w:rsidRPr="00A963F5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cs="FangSong_GB2312-Identity-H"/>
          <w:sz w:val="28"/>
          <w:szCs w:val="28"/>
        </w:rPr>
      </w:pPr>
      <w:r w:rsidRPr="00A963F5">
        <w:rPr>
          <w:rFonts w:cs="FangSong_GB2312-Identity-H" w:hint="eastAsia"/>
          <w:b/>
          <w:bCs/>
          <w:sz w:val="28"/>
          <w:szCs w:val="28"/>
        </w:rPr>
        <w:t>第三条</w:t>
      </w:r>
      <w:r w:rsidRPr="00A963F5">
        <w:rPr>
          <w:rFonts w:ascii="仿宋_GB2312" w:eastAsia="仿宋_GB2312" w:cs="FangSong_GB2312-Identity-H" w:hint="eastAsia"/>
          <w:sz w:val="28"/>
          <w:szCs w:val="28"/>
        </w:rPr>
        <w:t> 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教师因病、因公或其他客观原因，确实无法执行原定课表，须严格履行调、停课相关手续。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63F5">
        <w:rPr>
          <w:rFonts w:cs="FangSong_GB2312-Identity-H" w:hint="eastAsia"/>
          <w:b/>
          <w:bCs/>
          <w:sz w:val="28"/>
          <w:szCs w:val="28"/>
        </w:rPr>
        <w:t>第四条</w:t>
      </w:r>
      <w:r w:rsidRPr="00A963F5">
        <w:rPr>
          <w:rFonts w:ascii="仿宋_GB2312" w:eastAsia="仿宋_GB2312" w:cs="FangSong_GB2312-Identity-H" w:hint="eastAsia"/>
          <w:sz w:val="28"/>
          <w:szCs w:val="28"/>
        </w:rPr>
        <w:t> 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调、停课手续办理</w:t>
      </w:r>
    </w:p>
    <w:p w:rsidR="0041240C" w:rsidRPr="0041240C" w:rsidRDefault="0041240C" w:rsidP="0041240C">
      <w:pPr>
        <w:pStyle w:val="a3"/>
        <w:spacing w:before="0" w:beforeAutospacing="0" w:after="0" w:afterAutospacing="0" w:line="24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（一）</w:t>
      </w:r>
      <w:r w:rsidR="00A963F5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任课教师原则上（特殊情况除外）须提前（两天以上）办理调、停课手续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6A039F" w:rsidRPr="005B7BFC" w:rsidRDefault="0041240C" w:rsidP="0041240C">
      <w:pPr>
        <w:pStyle w:val="a3"/>
        <w:spacing w:before="0" w:beforeAutospacing="0" w:after="0" w:afterAutospacing="0" w:line="24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1、</w:t>
      </w:r>
      <w:r w:rsidR="00FF2A06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安庆师范大学</w:t>
      </w:r>
      <w:r w:rsidR="00FF2A06">
        <w:rPr>
          <w:rFonts w:ascii="仿宋_GB2312" w:eastAsia="仿宋_GB2312" w:hAnsi="仿宋_GB2312" w:cs="仿宋_GB2312" w:hint="eastAsia"/>
          <w:kern w:val="2"/>
          <w:sz w:val="32"/>
          <w:szCs w:val="32"/>
        </w:rPr>
        <w:t>高职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授课任务须在</w:t>
      </w:r>
      <w:r w:rsidR="00FF2A06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师大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教学管理系统中申</w:t>
      </w:r>
      <w:r w:rsidR="006A039F" w:rsidRPr="005B7BFC">
        <w:rPr>
          <w:rFonts w:ascii="仿宋_GB2312" w:eastAsia="仿宋_GB2312" w:hAnsi="仿宋_GB2312" w:cs="仿宋_GB2312" w:hint="eastAsia"/>
          <w:kern w:val="2"/>
          <w:sz w:val="32"/>
          <w:szCs w:val="32"/>
        </w:rPr>
        <w:t>请调、停（补）课；</w:t>
      </w:r>
    </w:p>
    <w:p w:rsidR="006A039F" w:rsidRPr="00B06C55" w:rsidRDefault="0041240C" w:rsidP="00074305">
      <w:pPr>
        <w:tabs>
          <w:tab w:val="left" w:pos="1558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963A88">
        <w:rPr>
          <w:rFonts w:ascii="仿宋_GB2312" w:eastAsia="仿宋_GB2312" w:hAnsi="仿宋_GB2312" w:cs="仿宋_GB2312" w:hint="eastAsia"/>
          <w:sz w:val="32"/>
          <w:szCs w:val="32"/>
        </w:rPr>
        <w:t>中专授课任务、安庆职业技术学院高职授课任务以及</w:t>
      </w:r>
      <w:r w:rsidR="006A039F" w:rsidRPr="007E7282">
        <w:rPr>
          <w:rFonts w:ascii="仿宋_GB2312" w:eastAsia="仿宋_GB2312" w:hAnsi="仿宋_GB2312" w:cs="仿宋_GB2312" w:hint="eastAsia"/>
          <w:sz w:val="32"/>
          <w:szCs w:val="32"/>
        </w:rPr>
        <w:t>在安庆师范大学教学管理系统中无法</w:t>
      </w:r>
      <w:r w:rsidR="006A039F" w:rsidRPr="00B06C55">
        <w:rPr>
          <w:rFonts w:ascii="仿宋_GB2312" w:eastAsia="仿宋_GB2312" w:hAnsi="仿宋_GB2312" w:cs="仿宋_GB2312" w:hint="eastAsia"/>
          <w:sz w:val="32"/>
          <w:szCs w:val="32"/>
        </w:rPr>
        <w:t>申请的调、停课</w:t>
      </w:r>
      <w:r w:rsidR="00A963F5" w:rsidRPr="00B06C55">
        <w:rPr>
          <w:rFonts w:ascii="仿宋_GB2312" w:eastAsia="仿宋_GB2312" w:hAnsi="仿宋_GB2312" w:cs="仿宋_GB2312" w:hint="eastAsia"/>
          <w:sz w:val="32"/>
          <w:szCs w:val="32"/>
        </w:rPr>
        <w:t>须填写《</w:t>
      </w:r>
      <w:r w:rsidR="00963A88">
        <w:rPr>
          <w:rFonts w:ascii="仿宋_GB2312" w:eastAsia="仿宋_GB2312" w:hAnsi="仿宋_GB2312" w:cs="仿宋_GB2312" w:hint="eastAsia"/>
          <w:sz w:val="32"/>
          <w:szCs w:val="32"/>
        </w:rPr>
        <w:t>安徽化工学校</w:t>
      </w:r>
      <w:r w:rsidR="00074305" w:rsidRPr="00074305">
        <w:rPr>
          <w:rFonts w:ascii="仿宋_GB2312" w:eastAsia="仿宋_GB2312" w:hAnsi="仿宋_GB2312" w:cs="仿宋_GB2312" w:hint="eastAsia"/>
          <w:sz w:val="32"/>
          <w:szCs w:val="32"/>
        </w:rPr>
        <w:t>调、停（补）课审批表</w:t>
      </w:r>
      <w:r w:rsidR="00A963F5" w:rsidRPr="00B06C55">
        <w:rPr>
          <w:rFonts w:ascii="仿宋_GB2312" w:eastAsia="仿宋_GB2312" w:hAnsi="仿宋_GB2312" w:cs="仿宋_GB2312" w:hint="eastAsia"/>
          <w:sz w:val="32"/>
          <w:szCs w:val="32"/>
        </w:rPr>
        <w:t>》（见附件），</w:t>
      </w:r>
      <w:r w:rsidR="003024B1">
        <w:rPr>
          <w:rFonts w:ascii="仿宋_GB2312" w:eastAsia="仿宋_GB2312" w:hAnsi="仿宋_GB2312" w:cs="仿宋_GB2312" w:hint="eastAsia"/>
          <w:sz w:val="32"/>
          <w:szCs w:val="32"/>
        </w:rPr>
        <w:t>由课程</w:t>
      </w:r>
      <w:proofErr w:type="gramStart"/>
      <w:r w:rsidR="003024B1">
        <w:rPr>
          <w:rFonts w:ascii="仿宋_GB2312" w:eastAsia="仿宋_GB2312" w:hAnsi="仿宋_GB2312" w:cs="仿宋_GB2312" w:hint="eastAsia"/>
          <w:sz w:val="32"/>
          <w:szCs w:val="32"/>
        </w:rPr>
        <w:t>开课</w:t>
      </w:r>
      <w:r w:rsidR="006A039F" w:rsidRPr="003024B1">
        <w:rPr>
          <w:rFonts w:ascii="仿宋_GB2312" w:eastAsia="仿宋_GB2312" w:hAnsi="仿宋_GB2312" w:cs="仿宋_GB2312" w:hint="eastAsia"/>
          <w:sz w:val="32"/>
          <w:szCs w:val="32"/>
        </w:rPr>
        <w:t>系部</w:t>
      </w:r>
      <w:r w:rsidR="00C27561" w:rsidRPr="003024B1">
        <w:rPr>
          <w:rFonts w:ascii="仿宋_GB2312" w:eastAsia="仿宋_GB2312" w:hAnsi="仿宋_GB2312" w:cs="仿宋_GB2312" w:hint="eastAsia"/>
          <w:sz w:val="32"/>
          <w:szCs w:val="32"/>
        </w:rPr>
        <w:t>主任</w:t>
      </w:r>
      <w:proofErr w:type="gramEnd"/>
      <w:r w:rsidR="00A963F5" w:rsidRPr="003024B1">
        <w:rPr>
          <w:rFonts w:ascii="仿宋_GB2312" w:eastAsia="仿宋_GB2312" w:hAnsi="仿宋_GB2312" w:cs="仿宋_GB2312" w:hint="eastAsia"/>
          <w:sz w:val="32"/>
          <w:szCs w:val="32"/>
        </w:rPr>
        <w:t>审核签字通过后，</w:t>
      </w:r>
      <w:r w:rsidR="00A963F5" w:rsidRPr="00B06C55">
        <w:rPr>
          <w:rFonts w:ascii="仿宋_GB2312" w:eastAsia="仿宋_GB2312" w:hAnsi="仿宋_GB2312" w:cs="仿宋_GB2312" w:hint="eastAsia"/>
          <w:sz w:val="32"/>
          <w:szCs w:val="32"/>
        </w:rPr>
        <w:t>方可调整</w:t>
      </w:r>
      <w:r w:rsidR="0035571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55717" w:rsidRPr="003024B1">
        <w:rPr>
          <w:rFonts w:ascii="仿宋_GB2312" w:eastAsia="仿宋_GB2312" w:hAnsi="仿宋_GB2312" w:cs="仿宋_GB2312" w:hint="eastAsia"/>
          <w:sz w:val="32"/>
          <w:szCs w:val="32"/>
        </w:rPr>
        <w:t>因病调、停课需附二</w:t>
      </w:r>
      <w:proofErr w:type="gramStart"/>
      <w:r w:rsidR="00355717" w:rsidRPr="003024B1">
        <w:rPr>
          <w:rFonts w:ascii="仿宋_GB2312" w:eastAsia="仿宋_GB2312" w:hAnsi="仿宋_GB2312" w:cs="仿宋_GB2312" w:hint="eastAsia"/>
          <w:sz w:val="32"/>
          <w:szCs w:val="32"/>
        </w:rPr>
        <w:t>甲以上</w:t>
      </w:r>
      <w:proofErr w:type="gramEnd"/>
      <w:r w:rsidR="00355717" w:rsidRPr="003024B1">
        <w:rPr>
          <w:rFonts w:ascii="仿宋_GB2312" w:eastAsia="仿宋_GB2312" w:hAnsi="仿宋_GB2312" w:cs="仿宋_GB2312" w:hint="eastAsia"/>
          <w:sz w:val="32"/>
          <w:szCs w:val="32"/>
        </w:rPr>
        <w:t>医院证明材料</w:t>
      </w:r>
      <w:r w:rsidR="00A963F5" w:rsidRPr="00B06C5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（二）任课教师在填写</w:t>
      </w:r>
      <w:r w:rsidR="00074305" w:rsidRPr="00B06C55">
        <w:rPr>
          <w:rFonts w:ascii="仿宋_GB2312" w:eastAsia="仿宋_GB2312" w:hAnsi="仿宋_GB2312" w:cs="仿宋_GB2312" w:hint="eastAsia"/>
          <w:kern w:val="2"/>
          <w:sz w:val="32"/>
          <w:szCs w:val="32"/>
        </w:rPr>
        <w:t>《</w:t>
      </w:r>
      <w:r w:rsidR="00074305" w:rsidRPr="00074305">
        <w:rPr>
          <w:rFonts w:ascii="仿宋_GB2312" w:eastAsia="仿宋_GB2312" w:hAnsi="仿宋_GB2312" w:cs="仿宋_GB2312" w:hint="eastAsia"/>
          <w:sz w:val="32"/>
          <w:szCs w:val="32"/>
        </w:rPr>
        <w:t>安徽化工学校调、停（补）课审批表</w:t>
      </w:r>
      <w:r w:rsidR="00074305" w:rsidRPr="00B06C55">
        <w:rPr>
          <w:rFonts w:ascii="仿宋_GB2312" w:eastAsia="仿宋_GB2312" w:hAnsi="仿宋_GB2312" w:cs="仿宋_GB2312" w:hint="eastAsia"/>
          <w:kern w:val="2"/>
          <w:sz w:val="32"/>
          <w:szCs w:val="32"/>
        </w:rPr>
        <w:t>》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时须详细填写调、停课的原因、时间、课程名称、上课班级和上课地点等，并填写补课信息，保质保量完成补课任务；</w:t>
      </w:r>
    </w:p>
    <w:p w:rsidR="00A963F5" w:rsidRPr="007E7282" w:rsidRDefault="006A039F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（三）由</w:t>
      </w:r>
      <w:proofErr w:type="gramStart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开课系部</w:t>
      </w:r>
      <w:r w:rsidR="00A963F5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通知</w:t>
      </w:r>
      <w:proofErr w:type="gramEnd"/>
      <w:r w:rsidR="00A963F5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到相关班级的学生；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（四）凡经批准停课的教师原则上应在两周内主动与</w:t>
      </w:r>
      <w:proofErr w:type="gramStart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开课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系部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确定补课时间和地点，保质保量完成补课任务；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（五）任课教师遇突发不可抗力无法授课时，应立即向</w:t>
      </w:r>
      <w:proofErr w:type="gramStart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开课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系部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报告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proofErr w:type="gramStart"/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系部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对此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类情况应及时采取应急措施，安排相关教学事宜，并在第一时间将相关信息上报教务处，事后及时补办相关手续。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963F5">
        <w:rPr>
          <w:rFonts w:cs="FangSong_GB2312-Identity-H" w:hint="eastAsia"/>
          <w:b/>
          <w:bCs/>
          <w:sz w:val="28"/>
          <w:szCs w:val="28"/>
        </w:rPr>
        <w:t>第五条</w:t>
      </w:r>
      <w:r w:rsidRPr="00A963F5">
        <w:rPr>
          <w:rFonts w:ascii="仿宋_GB2312" w:eastAsia="仿宋_GB2312" w:cs="FangSong_GB2312-Identity-H" w:hint="eastAsia"/>
          <w:sz w:val="28"/>
          <w:szCs w:val="28"/>
        </w:rPr>
        <w:t> 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调、停课的相关要求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（一）每学期开学第一周和新生开课</w:t>
      </w:r>
      <w:r w:rsidR="006B2438">
        <w:rPr>
          <w:rFonts w:ascii="仿宋_GB2312" w:eastAsia="仿宋_GB2312" w:hAnsi="仿宋_GB2312" w:cs="仿宋_GB2312" w:hint="eastAsia"/>
          <w:kern w:val="2"/>
          <w:sz w:val="32"/>
          <w:szCs w:val="32"/>
        </w:rPr>
        <w:t>前两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周，任课教师须严格按教务处统一下发的课表上课，原则上不允许调、停课；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（二）课表确定后原则上不再调整任课教师，如确须调整的，须有充足理由并提供相关证明材料，原则上应安排同一课程组的教师接替；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（三）调、停课两周及以上的，须经教务处审核后，报分管教学校长批准；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（四）每位教师每学期调、停课原则上累计不能超过两次，</w:t>
      </w:r>
      <w:proofErr w:type="gramStart"/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系部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应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严格控制教师调、停课的次数，教务处不定期抽查并公布</w:t>
      </w:r>
      <w:proofErr w:type="gramStart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各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系部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调停课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情况；</w:t>
      </w:r>
    </w:p>
    <w:p w:rsidR="00A963F5" w:rsidRPr="007E7282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（五）未经允许擅自调课、停课以及未按时补课者，一经查实，按《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安徽化工学校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教学事故认定及处理办法》（</w:t>
      </w:r>
      <w:proofErr w:type="gramStart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校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党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字</w:t>
      </w:r>
      <w:proofErr w:type="gramEnd"/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〔20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22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〕</w:t>
      </w:r>
      <w:r w:rsidR="006A039F"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34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号）处理。</w:t>
      </w:r>
    </w:p>
    <w:p w:rsidR="00A963F5" w:rsidRPr="00A963F5" w:rsidRDefault="00A963F5" w:rsidP="00A963F5">
      <w:pPr>
        <w:pStyle w:val="a3"/>
        <w:spacing w:before="0" w:beforeAutospacing="0" w:after="0" w:afterAutospacing="0" w:line="240" w:lineRule="atLeast"/>
        <w:ind w:firstLine="555"/>
        <w:rPr>
          <w:rFonts w:ascii="仿宋_GB2312" w:eastAsia="仿宋_GB2312" w:cs="FangSong_GB2312-Identity-H"/>
          <w:sz w:val="28"/>
          <w:szCs w:val="28"/>
        </w:rPr>
      </w:pPr>
      <w:r w:rsidRPr="00A963F5">
        <w:rPr>
          <w:rFonts w:cs="FangSong_GB2312-Identity-H" w:hint="eastAsia"/>
          <w:b/>
          <w:bCs/>
          <w:sz w:val="28"/>
          <w:szCs w:val="28"/>
        </w:rPr>
        <w:t>第六条</w:t>
      </w:r>
      <w:r w:rsidRPr="00A963F5">
        <w:rPr>
          <w:rFonts w:ascii="仿宋_GB2312" w:eastAsia="仿宋_GB2312" w:cs="FangSong_GB2312-Identity-H" w:hint="eastAsia"/>
          <w:sz w:val="28"/>
          <w:szCs w:val="28"/>
        </w:rPr>
        <w:t> </w:t>
      </w:r>
      <w:r w:rsidRPr="007E7282">
        <w:rPr>
          <w:rFonts w:ascii="仿宋_GB2312" w:eastAsia="仿宋_GB2312" w:hAnsi="仿宋_GB2312" w:cs="仿宋_GB2312" w:hint="eastAsia"/>
          <w:kern w:val="2"/>
          <w:sz w:val="32"/>
          <w:szCs w:val="32"/>
        </w:rPr>
        <w:t>本办法自发布之日起执行，由教务处负责解释。</w:t>
      </w:r>
    </w:p>
    <w:p w:rsidR="003A4F07" w:rsidRDefault="003A4F07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Default="00B228F2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Default="00B228F2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Default="00B228F2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Default="00B228F2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Default="00B228F2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Default="00B228F2" w:rsidP="00A963F5">
      <w:pPr>
        <w:spacing w:line="240" w:lineRule="atLeast"/>
        <w:rPr>
          <w:rFonts w:ascii="仿宋_GB2312" w:eastAsia="仿宋_GB2312" w:hAnsi="宋体" w:cs="FangSong_GB2312-Identity-H" w:hint="eastAsia"/>
          <w:kern w:val="0"/>
          <w:sz w:val="28"/>
          <w:szCs w:val="28"/>
        </w:rPr>
      </w:pPr>
    </w:p>
    <w:p w:rsidR="00B228F2" w:rsidRPr="00B228F2" w:rsidRDefault="00B228F2" w:rsidP="00B228F2">
      <w:pPr>
        <w:autoSpaceDE w:val="0"/>
        <w:autoSpaceDN w:val="0"/>
        <w:adjustRightInd w:val="0"/>
        <w:jc w:val="center"/>
        <w:rPr>
          <w:rFonts w:ascii="方正大标宋简体" w:eastAsia="方正大标宋简体" w:hAnsi="Times New Roman" w:cs="Times New Roman" w:hint="eastAsia"/>
          <w:b/>
          <w:bCs/>
          <w:spacing w:val="20"/>
          <w:w w:val="90"/>
          <w:kern w:val="0"/>
          <w:sz w:val="38"/>
          <w:szCs w:val="20"/>
        </w:rPr>
      </w:pPr>
      <w:r w:rsidRPr="00B228F2">
        <w:rPr>
          <w:rFonts w:ascii="方正大标宋简体" w:eastAsia="方正大标宋简体" w:hAnsi="Times New Roman" w:cs="Times New Roman" w:hint="eastAsia"/>
          <w:b/>
          <w:bCs/>
          <w:spacing w:val="20"/>
          <w:w w:val="90"/>
          <w:kern w:val="0"/>
          <w:sz w:val="38"/>
          <w:szCs w:val="20"/>
        </w:rPr>
        <w:lastRenderedPageBreak/>
        <w:t>安徽化工学校调、停（补）课审批</w:t>
      </w:r>
      <w:r w:rsidRPr="00B228F2">
        <w:rPr>
          <w:rFonts w:ascii="方正大标宋简体" w:eastAsia="方正大标宋简体" w:hAnsi="Times New Roman" w:cs="Times New Roman" w:hint="eastAsia"/>
          <w:b/>
          <w:bCs/>
          <w:spacing w:val="-10"/>
          <w:w w:val="90"/>
          <w:kern w:val="0"/>
          <w:sz w:val="38"/>
          <w:szCs w:val="20"/>
        </w:rPr>
        <w:t>表</w:t>
      </w:r>
    </w:p>
    <w:p w:rsidR="00B228F2" w:rsidRPr="00B228F2" w:rsidRDefault="00B228F2" w:rsidP="00B228F2">
      <w:pPr>
        <w:spacing w:after="60" w:line="220" w:lineRule="exact"/>
        <w:rPr>
          <w:rFonts w:ascii="宋体" w:eastAsia="宋体" w:hAnsi="Times New Roman" w:cs="Times New Roman" w:hint="eastAsia"/>
          <w:b/>
          <w:sz w:val="20"/>
          <w:szCs w:val="24"/>
        </w:rPr>
      </w:pPr>
    </w:p>
    <w:tbl>
      <w:tblPr>
        <w:tblW w:w="87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11"/>
        <w:gridCol w:w="749"/>
        <w:gridCol w:w="760"/>
        <w:gridCol w:w="760"/>
        <w:gridCol w:w="762"/>
        <w:gridCol w:w="1406"/>
        <w:gridCol w:w="305"/>
        <w:gridCol w:w="439"/>
        <w:gridCol w:w="744"/>
        <w:gridCol w:w="744"/>
        <w:gridCol w:w="744"/>
      </w:tblGrid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教师姓名</w:t>
            </w:r>
          </w:p>
        </w:tc>
        <w:tc>
          <w:tcPr>
            <w:tcW w:w="3030" w:type="dxa"/>
            <w:gridSpan w:val="4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职称</w:t>
            </w:r>
          </w:p>
        </w:tc>
        <w:tc>
          <w:tcPr>
            <w:tcW w:w="2670" w:type="dxa"/>
            <w:gridSpan w:val="4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所属系别</w:t>
            </w:r>
          </w:p>
        </w:tc>
        <w:tc>
          <w:tcPr>
            <w:tcW w:w="3030" w:type="dxa"/>
            <w:gridSpan w:val="4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讲授课程</w:t>
            </w:r>
          </w:p>
        </w:tc>
        <w:tc>
          <w:tcPr>
            <w:tcW w:w="2670" w:type="dxa"/>
            <w:gridSpan w:val="4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调、停课班级</w:t>
            </w:r>
          </w:p>
        </w:tc>
        <w:tc>
          <w:tcPr>
            <w:tcW w:w="3030" w:type="dxa"/>
            <w:gridSpan w:val="4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 xml:space="preserve"> 调、停课总学时</w:t>
            </w:r>
          </w:p>
        </w:tc>
        <w:tc>
          <w:tcPr>
            <w:tcW w:w="2670" w:type="dxa"/>
            <w:gridSpan w:val="4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9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调、停课</w:t>
            </w:r>
          </w:p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事由</w:t>
            </w:r>
          </w:p>
        </w:tc>
        <w:tc>
          <w:tcPr>
            <w:tcW w:w="7411" w:type="dxa"/>
            <w:gridSpan w:val="10"/>
            <w:vAlign w:val="bottom"/>
          </w:tcPr>
          <w:p w:rsidR="00B228F2" w:rsidRPr="00B228F2" w:rsidRDefault="00B228F2" w:rsidP="00B228F2">
            <w:pPr>
              <w:spacing w:after="80" w:line="220" w:lineRule="exact"/>
              <w:ind w:right="210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  <w:jc w:val="center"/>
        </w:trPr>
        <w:tc>
          <w:tcPr>
            <w:tcW w:w="4383" w:type="dxa"/>
            <w:gridSpan w:val="6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原 授 课 时 间</w:t>
            </w:r>
          </w:p>
        </w:tc>
        <w:tc>
          <w:tcPr>
            <w:tcW w:w="4381" w:type="dxa"/>
            <w:gridSpan w:val="6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调、停课方案</w:t>
            </w: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  <w:jc w:val="center"/>
        </w:trPr>
        <w:tc>
          <w:tcPr>
            <w:tcW w:w="134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课程名称</w:t>
            </w:r>
          </w:p>
        </w:tc>
        <w:tc>
          <w:tcPr>
            <w:tcW w:w="760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周次</w:t>
            </w: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星期</w:t>
            </w: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节次</w:t>
            </w:r>
          </w:p>
        </w:tc>
        <w:tc>
          <w:tcPr>
            <w:tcW w:w="76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教室</w:t>
            </w:r>
          </w:p>
        </w:tc>
        <w:tc>
          <w:tcPr>
            <w:tcW w:w="1406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课程名称</w:t>
            </w:r>
          </w:p>
        </w:tc>
        <w:tc>
          <w:tcPr>
            <w:tcW w:w="744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周次</w:t>
            </w: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星期</w:t>
            </w: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节次</w:t>
            </w: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教室</w:t>
            </w: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  <w:jc w:val="center"/>
        </w:trPr>
        <w:tc>
          <w:tcPr>
            <w:tcW w:w="134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  <w:jc w:val="center"/>
        </w:trPr>
        <w:tc>
          <w:tcPr>
            <w:tcW w:w="134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  <w:jc w:val="center"/>
        </w:trPr>
        <w:tc>
          <w:tcPr>
            <w:tcW w:w="134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2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ind w:firstLineChars="198" w:firstLine="398"/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</w:pPr>
            <w:proofErr w:type="gramStart"/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>系部意见</w:t>
            </w:r>
            <w:proofErr w:type="gramEnd"/>
          </w:p>
        </w:tc>
        <w:tc>
          <w:tcPr>
            <w:tcW w:w="7411" w:type="dxa"/>
            <w:gridSpan w:val="10"/>
            <w:vAlign w:val="bottom"/>
          </w:tcPr>
          <w:p w:rsidR="00B228F2" w:rsidRPr="00B228F2" w:rsidRDefault="00B228F2" w:rsidP="00B228F2">
            <w:pPr>
              <w:wordWrap w:val="0"/>
              <w:spacing w:after="80" w:line="220" w:lineRule="exact"/>
              <w:ind w:right="10"/>
              <w:jc w:val="right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 xml:space="preserve">  </w:t>
            </w:r>
          </w:p>
          <w:p w:rsidR="00B228F2" w:rsidRPr="00B228F2" w:rsidRDefault="00B228F2" w:rsidP="00B228F2">
            <w:pPr>
              <w:spacing w:after="80" w:line="220" w:lineRule="exact"/>
              <w:ind w:right="410" w:firstLineChars="2217" w:firstLine="4451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proofErr w:type="gramStart"/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系部主任</w:t>
            </w:r>
            <w:proofErr w:type="gramEnd"/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 xml:space="preserve">签字：         </w:t>
            </w:r>
          </w:p>
          <w:p w:rsidR="00B228F2" w:rsidRPr="00B228F2" w:rsidRDefault="00B228F2" w:rsidP="00B228F2">
            <w:pPr>
              <w:spacing w:after="80" w:line="220" w:lineRule="exact"/>
              <w:ind w:right="410" w:firstLineChars="2586" w:firstLine="5192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年   月   日</w:t>
            </w: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98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>教务处</w:t>
            </w:r>
          </w:p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>意见</w:t>
            </w:r>
          </w:p>
        </w:tc>
        <w:tc>
          <w:tcPr>
            <w:tcW w:w="7411" w:type="dxa"/>
            <w:gridSpan w:val="10"/>
            <w:vAlign w:val="bottom"/>
          </w:tcPr>
          <w:p w:rsidR="00B228F2" w:rsidRPr="00B228F2" w:rsidRDefault="00B228F2" w:rsidP="00B228F2">
            <w:pPr>
              <w:spacing w:line="220" w:lineRule="exact"/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</w:pPr>
          </w:p>
          <w:p w:rsidR="00B228F2" w:rsidRPr="00B228F2" w:rsidRDefault="00B228F2" w:rsidP="00B228F2">
            <w:pPr>
              <w:wordWrap w:val="0"/>
              <w:spacing w:line="220" w:lineRule="exact"/>
              <w:ind w:leftChars="48" w:left="101" w:right="814" w:firstLineChars="2209" w:firstLine="4435"/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 xml:space="preserve">教务处主任签字：    </w:t>
            </w:r>
          </w:p>
          <w:p w:rsidR="00B228F2" w:rsidRPr="00B228F2" w:rsidRDefault="00B228F2" w:rsidP="00B228F2">
            <w:pPr>
              <w:wordWrap w:val="0"/>
              <w:spacing w:line="220" w:lineRule="exact"/>
              <w:ind w:leftChars="48" w:left="101" w:right="814" w:firstLineChars="2112" w:firstLine="4240"/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 xml:space="preserve">         年    月   日</w:t>
            </w:r>
          </w:p>
        </w:tc>
      </w:tr>
      <w:tr w:rsidR="00B228F2" w:rsidRPr="00B228F2" w:rsidTr="00E4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30"/>
          <w:jc w:val="center"/>
        </w:trPr>
        <w:tc>
          <w:tcPr>
            <w:tcW w:w="1353" w:type="dxa"/>
            <w:gridSpan w:val="2"/>
            <w:vAlign w:val="center"/>
          </w:tcPr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分管</w:t>
            </w:r>
            <w:r w:rsidR="00566EE1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校长</w:t>
            </w:r>
            <w:bookmarkStart w:id="0" w:name="_GoBack"/>
            <w:bookmarkEnd w:id="0"/>
          </w:p>
          <w:p w:rsidR="00B228F2" w:rsidRPr="00B228F2" w:rsidRDefault="00B228F2" w:rsidP="00B228F2">
            <w:pPr>
              <w:spacing w:line="220" w:lineRule="exact"/>
              <w:jc w:val="center"/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sz w:val="20"/>
                <w:szCs w:val="24"/>
              </w:rPr>
              <w:t>意见</w:t>
            </w:r>
          </w:p>
        </w:tc>
        <w:tc>
          <w:tcPr>
            <w:tcW w:w="7411" w:type="dxa"/>
            <w:gridSpan w:val="10"/>
            <w:vAlign w:val="bottom"/>
          </w:tcPr>
          <w:p w:rsidR="00B228F2" w:rsidRPr="00B228F2" w:rsidRDefault="00B228F2" w:rsidP="00B228F2">
            <w:pPr>
              <w:wordWrap w:val="0"/>
              <w:spacing w:line="220" w:lineRule="exact"/>
              <w:ind w:leftChars="48" w:left="101" w:right="814" w:firstLineChars="2209" w:firstLine="4435"/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 xml:space="preserve">分管校长签字：   </w:t>
            </w:r>
          </w:p>
          <w:p w:rsidR="00B228F2" w:rsidRPr="00B228F2" w:rsidRDefault="00B228F2" w:rsidP="00B228F2">
            <w:pPr>
              <w:wordWrap w:val="0"/>
              <w:spacing w:line="220" w:lineRule="exact"/>
              <w:ind w:leftChars="48" w:left="101" w:right="814" w:firstLineChars="2494" w:firstLine="5007"/>
              <w:rPr>
                <w:rFonts w:ascii="宋体" w:eastAsia="宋体" w:hAnsi="Times New Roman" w:cs="Times New Roman" w:hint="eastAsia"/>
                <w:sz w:val="20"/>
                <w:szCs w:val="24"/>
              </w:rPr>
            </w:pPr>
            <w:r w:rsidRPr="00B228F2">
              <w:rPr>
                <w:rFonts w:ascii="宋体" w:eastAsia="宋体" w:hAnsi="Times New Roman" w:cs="Times New Roman" w:hint="eastAsia"/>
                <w:b/>
                <w:bCs/>
                <w:sz w:val="20"/>
                <w:szCs w:val="24"/>
              </w:rPr>
              <w:t>年    月   日</w:t>
            </w:r>
          </w:p>
        </w:tc>
      </w:tr>
    </w:tbl>
    <w:p w:rsidR="00B228F2" w:rsidRPr="00B228F2" w:rsidRDefault="00B228F2" w:rsidP="00B228F2">
      <w:pPr>
        <w:spacing w:before="120" w:line="260" w:lineRule="exact"/>
        <w:ind w:left="1304" w:hanging="1304"/>
        <w:rPr>
          <w:rFonts w:ascii="宋体" w:eastAsia="宋体" w:hAnsi="Times New Roman" w:cs="Times New Roman" w:hint="eastAsia"/>
          <w:b/>
          <w:sz w:val="20"/>
          <w:szCs w:val="24"/>
        </w:rPr>
      </w:pPr>
      <w:r w:rsidRPr="00B228F2">
        <w:rPr>
          <w:rFonts w:ascii="黑体" w:eastAsia="黑体" w:hAnsi="Times New Roman" w:cs="Times New Roman" w:hint="eastAsia"/>
          <w:b/>
          <w:sz w:val="20"/>
          <w:szCs w:val="24"/>
        </w:rPr>
        <w:t xml:space="preserve">注意事项：  </w:t>
      </w:r>
      <w:r w:rsidRPr="00B228F2">
        <w:rPr>
          <w:rFonts w:ascii="宋体" w:eastAsia="宋体" w:hAnsi="Times New Roman" w:cs="Times New Roman" w:hint="eastAsia"/>
          <w:b/>
          <w:sz w:val="20"/>
          <w:szCs w:val="24"/>
        </w:rPr>
        <w:t>1.纸质文本交教务处留存归档。</w:t>
      </w:r>
    </w:p>
    <w:p w:rsidR="00B228F2" w:rsidRPr="00B228F2" w:rsidRDefault="00B228F2" w:rsidP="00B228F2">
      <w:pPr>
        <w:spacing w:line="260" w:lineRule="exact"/>
        <w:ind w:firstLineChars="592" w:firstLine="1189"/>
        <w:rPr>
          <w:rFonts w:ascii="宋体" w:eastAsia="宋体" w:hAnsi="Times New Roman" w:cs="Times New Roman"/>
          <w:b/>
          <w:sz w:val="20"/>
          <w:szCs w:val="24"/>
        </w:rPr>
      </w:pPr>
      <w:r w:rsidRPr="00B228F2">
        <w:rPr>
          <w:rFonts w:ascii="宋体" w:eastAsia="宋体" w:hAnsi="Times New Roman" w:cs="Times New Roman" w:hint="eastAsia"/>
          <w:b/>
          <w:sz w:val="20"/>
          <w:szCs w:val="24"/>
        </w:rPr>
        <w:t>2. 为保证教学秩序，开学2周内原则上不予调、停课。</w:t>
      </w:r>
    </w:p>
    <w:p w:rsidR="00B228F2" w:rsidRPr="00B228F2" w:rsidRDefault="00B228F2" w:rsidP="00A963F5">
      <w:pPr>
        <w:spacing w:line="240" w:lineRule="atLeast"/>
        <w:rPr>
          <w:rFonts w:ascii="仿宋_GB2312" w:eastAsia="仿宋_GB2312" w:hAnsi="宋体" w:cs="FangSong_GB2312-Identity-H"/>
          <w:kern w:val="0"/>
          <w:sz w:val="28"/>
          <w:szCs w:val="28"/>
        </w:rPr>
      </w:pPr>
    </w:p>
    <w:sectPr w:rsidR="00B228F2" w:rsidRPr="00B2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50" w:rsidRDefault="00BD2550" w:rsidP="00B15B2F">
      <w:r>
        <w:separator/>
      </w:r>
    </w:p>
  </w:endnote>
  <w:endnote w:type="continuationSeparator" w:id="0">
    <w:p w:rsidR="00BD2550" w:rsidRDefault="00BD2550" w:rsidP="00B1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FangSong_GB2312-Identity-H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50" w:rsidRDefault="00BD2550" w:rsidP="00B15B2F">
      <w:r>
        <w:separator/>
      </w:r>
    </w:p>
  </w:footnote>
  <w:footnote w:type="continuationSeparator" w:id="0">
    <w:p w:rsidR="00BD2550" w:rsidRDefault="00BD2550" w:rsidP="00B1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9F0"/>
    <w:multiLevelType w:val="hybridMultilevel"/>
    <w:tmpl w:val="A1560900"/>
    <w:lvl w:ilvl="0" w:tplc="60181090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D936EC9"/>
    <w:multiLevelType w:val="hybridMultilevel"/>
    <w:tmpl w:val="A4607F20"/>
    <w:lvl w:ilvl="0" w:tplc="17F225B2">
      <w:start w:val="1"/>
      <w:numFmt w:val="japaneseCounting"/>
      <w:lvlText w:val="（%1）"/>
      <w:lvlJc w:val="left"/>
      <w:pPr>
        <w:ind w:left="1950" w:hanging="13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4DEB6EAD"/>
    <w:multiLevelType w:val="hybridMultilevel"/>
    <w:tmpl w:val="0F6A9B7C"/>
    <w:lvl w:ilvl="0" w:tplc="107A9D7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D92509E"/>
    <w:multiLevelType w:val="hybridMultilevel"/>
    <w:tmpl w:val="BB88C242"/>
    <w:lvl w:ilvl="0" w:tplc="0E36A7D2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F5"/>
    <w:rsid w:val="00074305"/>
    <w:rsid w:val="0017649D"/>
    <w:rsid w:val="00205FA1"/>
    <w:rsid w:val="003024B1"/>
    <w:rsid w:val="00355717"/>
    <w:rsid w:val="00386685"/>
    <w:rsid w:val="003A4F07"/>
    <w:rsid w:val="00410DFA"/>
    <w:rsid w:val="0041240C"/>
    <w:rsid w:val="004F13E3"/>
    <w:rsid w:val="00566EE1"/>
    <w:rsid w:val="005B7BFC"/>
    <w:rsid w:val="006A039F"/>
    <w:rsid w:val="006B2438"/>
    <w:rsid w:val="007E7282"/>
    <w:rsid w:val="00843D08"/>
    <w:rsid w:val="008C50E1"/>
    <w:rsid w:val="00963A88"/>
    <w:rsid w:val="00A44947"/>
    <w:rsid w:val="00A64841"/>
    <w:rsid w:val="00A963F5"/>
    <w:rsid w:val="00B06C55"/>
    <w:rsid w:val="00B15B2F"/>
    <w:rsid w:val="00B228F2"/>
    <w:rsid w:val="00B70B18"/>
    <w:rsid w:val="00BB461C"/>
    <w:rsid w:val="00BD2550"/>
    <w:rsid w:val="00C13A7D"/>
    <w:rsid w:val="00C27561"/>
    <w:rsid w:val="00CC621A"/>
    <w:rsid w:val="00D80526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3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63F5"/>
    <w:rPr>
      <w:b/>
      <w:bCs/>
    </w:rPr>
  </w:style>
  <w:style w:type="paragraph" w:styleId="a5">
    <w:name w:val="header"/>
    <w:basedOn w:val="a"/>
    <w:link w:val="Char"/>
    <w:uiPriority w:val="99"/>
    <w:unhideWhenUsed/>
    <w:rsid w:val="00B1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5B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5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3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63F5"/>
    <w:rPr>
      <w:b/>
      <w:bCs/>
    </w:rPr>
  </w:style>
  <w:style w:type="paragraph" w:styleId="a5">
    <w:name w:val="header"/>
    <w:basedOn w:val="a"/>
    <w:link w:val="Char"/>
    <w:uiPriority w:val="99"/>
    <w:unhideWhenUsed/>
    <w:rsid w:val="00B1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5B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5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6225-1D28-4A75-B495-85640115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13</cp:revision>
  <dcterms:created xsi:type="dcterms:W3CDTF">2023-12-04T06:11:00Z</dcterms:created>
  <dcterms:modified xsi:type="dcterms:W3CDTF">2024-11-11T02:11:00Z</dcterms:modified>
</cp:coreProperties>
</file>